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32BAB" w:rsidRPr="00956CFE" w:rsidRDefault="00832BAB" w:rsidP="00832BA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8B2C80">
        <w:rPr>
          <w:sz w:val="28"/>
          <w:szCs w:val="28"/>
        </w:rPr>
        <w:t>октябре</w:t>
      </w:r>
      <w:r w:rsidR="00F97C44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56CF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 главы </w:t>
      </w:r>
      <w:r w:rsidRPr="0020116E">
        <w:rPr>
          <w:b/>
          <w:sz w:val="28"/>
          <w:szCs w:val="28"/>
          <w:u w:val="single"/>
        </w:rPr>
        <w:t>Администрации Рыбасовского сельского поселения</w:t>
      </w:r>
      <w:r w:rsidRPr="00956CFE">
        <w:rPr>
          <w:sz w:val="28"/>
          <w:szCs w:val="28"/>
        </w:rPr>
        <w:t xml:space="preserve">  </w:t>
      </w:r>
      <w:r>
        <w:rPr>
          <w:sz w:val="28"/>
          <w:szCs w:val="28"/>
        </w:rPr>
        <w:t>поступило 1 обращение</w:t>
      </w:r>
      <w:r w:rsidRPr="00606091">
        <w:rPr>
          <w:sz w:val="28"/>
          <w:szCs w:val="28"/>
        </w:rPr>
        <w:t>.</w:t>
      </w:r>
    </w:p>
    <w:p w:rsidR="00832BAB" w:rsidRPr="009231C8" w:rsidRDefault="00832BAB" w:rsidP="00832BAB">
      <w:pPr>
        <w:pStyle w:val="3"/>
        <w:spacing w:after="0"/>
        <w:ind w:left="0"/>
        <w:jc w:val="both"/>
        <w:rPr>
          <w:sz w:val="28"/>
          <w:szCs w:val="28"/>
        </w:rPr>
      </w:pPr>
      <w:r w:rsidRPr="009231C8">
        <w:rPr>
          <w:sz w:val="28"/>
          <w:szCs w:val="28"/>
        </w:rPr>
        <w:t xml:space="preserve">Количество поступивших в </w:t>
      </w:r>
      <w:r w:rsidR="008B2C80">
        <w:rPr>
          <w:sz w:val="28"/>
          <w:szCs w:val="28"/>
        </w:rPr>
        <w:t>октябре</w:t>
      </w:r>
      <w:r w:rsidRPr="009231C8">
        <w:rPr>
          <w:sz w:val="28"/>
          <w:szCs w:val="28"/>
        </w:rPr>
        <w:t xml:space="preserve"> </w:t>
      </w:r>
      <w:r w:rsidR="00F97C44">
        <w:rPr>
          <w:sz w:val="28"/>
          <w:szCs w:val="28"/>
        </w:rPr>
        <w:t>2022</w:t>
      </w:r>
      <w:r w:rsidRPr="009231C8">
        <w:rPr>
          <w:sz w:val="28"/>
          <w:szCs w:val="28"/>
        </w:rPr>
        <w:t xml:space="preserve"> года обращений равно (</w:t>
      </w:r>
      <w:r>
        <w:rPr>
          <w:sz w:val="28"/>
          <w:szCs w:val="28"/>
        </w:rPr>
        <w:t>1</w:t>
      </w:r>
      <w:r w:rsidRPr="009231C8">
        <w:rPr>
          <w:sz w:val="28"/>
          <w:szCs w:val="28"/>
        </w:rPr>
        <w:t>),</w:t>
      </w:r>
      <w:r w:rsidR="008B2C80">
        <w:rPr>
          <w:sz w:val="28"/>
          <w:szCs w:val="28"/>
        </w:rPr>
        <w:t xml:space="preserve"> также и в октябре</w:t>
      </w:r>
      <w:r w:rsidR="00F97C44">
        <w:rPr>
          <w:sz w:val="28"/>
          <w:szCs w:val="28"/>
        </w:rPr>
        <w:t xml:space="preserve"> 2021</w:t>
      </w:r>
      <w:r w:rsidRPr="009231C8">
        <w:rPr>
          <w:sz w:val="28"/>
          <w:szCs w:val="28"/>
        </w:rPr>
        <w:t xml:space="preserve"> года обращения  равны (</w:t>
      </w:r>
      <w:r>
        <w:rPr>
          <w:sz w:val="28"/>
          <w:szCs w:val="28"/>
        </w:rPr>
        <w:t>1</w:t>
      </w:r>
      <w:r w:rsidRPr="009231C8">
        <w:rPr>
          <w:sz w:val="28"/>
          <w:szCs w:val="28"/>
        </w:rPr>
        <w:t xml:space="preserve">). </w:t>
      </w:r>
    </w:p>
    <w:p w:rsidR="00832BAB" w:rsidRPr="009231C8" w:rsidRDefault="00832BAB" w:rsidP="00832BAB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в </w:t>
      </w:r>
      <w:r w:rsidR="008B2C80">
        <w:rPr>
          <w:sz w:val="28"/>
          <w:szCs w:val="28"/>
        </w:rPr>
        <w:t>сентябре</w:t>
      </w:r>
      <w:r w:rsidR="00F97C44">
        <w:rPr>
          <w:sz w:val="28"/>
          <w:szCs w:val="28"/>
        </w:rPr>
        <w:t xml:space="preserve"> 2022</w:t>
      </w:r>
      <w:r w:rsidRPr="009231C8">
        <w:rPr>
          <w:sz w:val="28"/>
          <w:szCs w:val="28"/>
        </w:rPr>
        <w:t xml:space="preserve"> года обращений  </w:t>
      </w:r>
      <w:r>
        <w:rPr>
          <w:sz w:val="28"/>
          <w:szCs w:val="28"/>
        </w:rPr>
        <w:t>равно</w:t>
      </w:r>
      <w:r w:rsidRPr="009231C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1) (100%),                            также и в </w:t>
      </w:r>
      <w:r w:rsidRPr="009231C8">
        <w:rPr>
          <w:sz w:val="28"/>
          <w:szCs w:val="28"/>
        </w:rPr>
        <w:t xml:space="preserve"> </w:t>
      </w:r>
      <w:r w:rsidR="008B2C80">
        <w:rPr>
          <w:sz w:val="28"/>
          <w:szCs w:val="28"/>
        </w:rPr>
        <w:t>октябре</w:t>
      </w:r>
      <w:r w:rsidR="00F97C44">
        <w:rPr>
          <w:sz w:val="28"/>
          <w:szCs w:val="28"/>
        </w:rPr>
        <w:t xml:space="preserve"> 2022</w:t>
      </w:r>
      <w:r w:rsidRPr="009231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поступило  (1) (100%) обращение.</w:t>
      </w:r>
    </w:p>
    <w:p w:rsidR="00117413" w:rsidRPr="009231C8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231C8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BB6675">
        <w:rPr>
          <w:sz w:val="24"/>
          <w:szCs w:val="28"/>
        </w:rPr>
        <w:t xml:space="preserve"> </w:t>
      </w:r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0409" cy="2196935"/>
            <wp:effectExtent l="19050" t="0" r="24741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8B2C80">
        <w:rPr>
          <w:sz w:val="28"/>
          <w:szCs w:val="28"/>
        </w:rPr>
        <w:t>октябре</w:t>
      </w:r>
      <w:r w:rsidR="007F65F7">
        <w:rPr>
          <w:sz w:val="28"/>
          <w:szCs w:val="28"/>
        </w:rPr>
        <w:t xml:space="preserve"> </w:t>
      </w:r>
      <w:r w:rsidR="00F97C44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2B4A03">
        <w:rPr>
          <w:sz w:val="28"/>
          <w:szCs w:val="28"/>
        </w:rPr>
        <w:t xml:space="preserve">года, в </w:t>
      </w:r>
      <w:r w:rsidR="008B2C80">
        <w:rPr>
          <w:sz w:val="28"/>
          <w:szCs w:val="28"/>
        </w:rPr>
        <w:t>сентябре</w:t>
      </w:r>
      <w:r w:rsidR="007F65F7">
        <w:rPr>
          <w:sz w:val="28"/>
          <w:szCs w:val="28"/>
        </w:rPr>
        <w:t xml:space="preserve"> </w:t>
      </w:r>
      <w:r w:rsidR="00F97C44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8B2C80">
        <w:rPr>
          <w:sz w:val="28"/>
          <w:szCs w:val="28"/>
        </w:rPr>
        <w:t>и октябре</w:t>
      </w:r>
      <w:r w:rsidR="007F65F7">
        <w:rPr>
          <w:sz w:val="28"/>
          <w:szCs w:val="28"/>
        </w:rPr>
        <w:t xml:space="preserve"> </w:t>
      </w:r>
      <w:r w:rsidR="00F97C44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8B2C80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F97C44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8B2C80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F97C44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8B2C80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F97C44">
              <w:rPr>
                <w:sz w:val="24"/>
                <w:szCs w:val="24"/>
              </w:rPr>
              <w:t xml:space="preserve"> 2022</w:t>
            </w:r>
            <w:r w:rsidR="00BD6A80">
              <w:rPr>
                <w:sz w:val="24"/>
                <w:szCs w:val="24"/>
              </w:rPr>
              <w:t xml:space="preserve"> </w:t>
            </w:r>
            <w:r w:rsidR="00EF2575" w:rsidRPr="00B4126F">
              <w:rPr>
                <w:sz w:val="24"/>
                <w:szCs w:val="24"/>
              </w:rPr>
              <w:t>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9718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9718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9E6EEC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9E6EEC" w:rsidRPr="00956CFE" w:rsidRDefault="009E6EEC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9E6EEC" w:rsidRPr="00956CFE" w:rsidRDefault="009E6EE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E6EEC" w:rsidRPr="00956CFE" w:rsidRDefault="009E6EEC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E6EEC" w:rsidRPr="00956CFE" w:rsidRDefault="009E6EEC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6EEC" w:rsidRPr="00956CFE" w:rsidRDefault="009E6EEC" w:rsidP="00EA7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EEC" w:rsidRPr="00956CFE" w:rsidRDefault="006C2361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9E6EEC" w:rsidRPr="00956CFE" w:rsidRDefault="009E6EEC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6EEC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9E6EEC" w:rsidRPr="00956CFE" w:rsidRDefault="009E6EEC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9E6EEC" w:rsidRPr="00956CFE" w:rsidRDefault="009E6EEC" w:rsidP="00E957C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E6EEC" w:rsidRPr="00956CFE" w:rsidRDefault="00832BAB" w:rsidP="00E957C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EE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E6EEC" w:rsidRPr="00956CFE" w:rsidRDefault="00832BAB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6EEC" w:rsidRPr="00956CFE" w:rsidRDefault="006C2361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EE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EEC" w:rsidRPr="00956CFE" w:rsidRDefault="006C2361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9E6EEC" w:rsidRPr="00956CFE" w:rsidRDefault="00832BAB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EEC">
              <w:rPr>
                <w:sz w:val="24"/>
                <w:szCs w:val="24"/>
              </w:rPr>
              <w:t>0</w:t>
            </w:r>
          </w:p>
        </w:tc>
      </w:tr>
      <w:tr w:rsidR="009E6EEC" w:rsidRPr="00956CFE" w:rsidTr="008B3D44">
        <w:trPr>
          <w:jc w:val="center"/>
        </w:trPr>
        <w:tc>
          <w:tcPr>
            <w:tcW w:w="1784" w:type="dxa"/>
            <w:vAlign w:val="center"/>
          </w:tcPr>
          <w:p w:rsidR="009E6EEC" w:rsidRPr="00956CFE" w:rsidRDefault="009E6EEC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9E6EEC" w:rsidRPr="00956CFE" w:rsidRDefault="009E6EEC" w:rsidP="00E957C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E6EEC" w:rsidRPr="00956CFE" w:rsidRDefault="00832BAB" w:rsidP="00E957C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EE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E6EEC" w:rsidRPr="00956CFE" w:rsidRDefault="00832BAB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6EEC" w:rsidRPr="00956CFE" w:rsidRDefault="006C2361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EE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EEC" w:rsidRPr="00956CFE" w:rsidRDefault="006C2361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9E6EEC" w:rsidRPr="00956CFE" w:rsidRDefault="00832BAB" w:rsidP="00EA72A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EEC"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</w:t>
      </w:r>
      <w:r w:rsidR="0020116E" w:rsidRPr="0020116E">
        <w:rPr>
          <w:b/>
          <w:sz w:val="28"/>
          <w:szCs w:val="28"/>
          <w:u w:val="single"/>
        </w:rPr>
        <w:t>Администрации Рыбасовского сельского поселения</w:t>
      </w:r>
      <w:r w:rsidR="008B2C80">
        <w:rPr>
          <w:sz w:val="28"/>
          <w:szCs w:val="28"/>
        </w:rPr>
        <w:t xml:space="preserve"> за октябрь</w:t>
      </w:r>
      <w:r w:rsidR="0039765B">
        <w:rPr>
          <w:sz w:val="28"/>
          <w:szCs w:val="28"/>
        </w:rPr>
        <w:t xml:space="preserve"> </w:t>
      </w:r>
      <w:r w:rsidR="00F97C44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8B2C80" w:rsidRPr="00956CFE" w:rsidTr="005D4AAC">
        <w:trPr>
          <w:trHeight w:val="356"/>
        </w:trPr>
        <w:tc>
          <w:tcPr>
            <w:tcW w:w="708" w:type="dxa"/>
            <w:vAlign w:val="center"/>
          </w:tcPr>
          <w:p w:rsidR="008B2C80" w:rsidRPr="00956CFE" w:rsidRDefault="008B2C80" w:rsidP="00D97187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8B2C80" w:rsidRPr="00956CFE" w:rsidRDefault="008B2C80" w:rsidP="00D97187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8B2C80" w:rsidRPr="00B4126F" w:rsidRDefault="00F97C44" w:rsidP="00FE4DB6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  <w:r w:rsidR="008B2C80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8B2C80" w:rsidRPr="00B4126F" w:rsidRDefault="00F97C44" w:rsidP="00FE4DB6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  <w:r w:rsidR="008B2C80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B2C80" w:rsidRPr="00B4126F" w:rsidRDefault="00F97C44" w:rsidP="00FE4DB6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  <w:r w:rsidR="008B2C80">
              <w:rPr>
                <w:sz w:val="24"/>
                <w:szCs w:val="24"/>
              </w:rPr>
              <w:t xml:space="preserve"> </w:t>
            </w:r>
            <w:r w:rsidR="008B2C80" w:rsidRPr="00B4126F">
              <w:rPr>
                <w:sz w:val="24"/>
                <w:szCs w:val="24"/>
              </w:rPr>
              <w:t>года</w:t>
            </w:r>
          </w:p>
        </w:tc>
      </w:tr>
      <w:tr w:rsidR="00E01C8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E01C8F" w:rsidRPr="00956CFE" w:rsidRDefault="004D3279" w:rsidP="00655340">
            <w:pPr>
              <w:jc w:val="center"/>
            </w:pPr>
            <w:r>
              <w:t>1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E01C8F" w:rsidRPr="00956CFE" w:rsidRDefault="00E01C8F" w:rsidP="00BD6A80">
            <w:r w:rsidRPr="00956CFE">
              <w:t>Благоустройство городов и поселков. Обустройство придомовых территорий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1C8F" w:rsidRDefault="00032209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C8F" w:rsidRDefault="00832BAB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1C8F" w:rsidRPr="00956CFE" w:rsidRDefault="006C2361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F97C44" w:rsidRPr="00956CFE" w:rsidTr="00F24332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97C44" w:rsidRPr="00956CFE" w:rsidRDefault="00F97C44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F97C44" w:rsidRPr="00956CFE" w:rsidRDefault="00F97C44" w:rsidP="00655340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F97C44" w:rsidRPr="00956CFE" w:rsidRDefault="00F97C44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F97C44" w:rsidRPr="00B4126F" w:rsidRDefault="00F97C44" w:rsidP="00A577D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  <w:r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F97C44" w:rsidRPr="00B4126F" w:rsidRDefault="00F97C44" w:rsidP="00A577D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  <w:r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F97C44" w:rsidRPr="00B4126F" w:rsidRDefault="00F97C44" w:rsidP="00A577D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2022 </w:t>
            </w:r>
            <w:r w:rsidRPr="00B4126F">
              <w:rPr>
                <w:sz w:val="24"/>
                <w:szCs w:val="24"/>
              </w:rPr>
              <w:t>года</w:t>
            </w:r>
          </w:p>
        </w:tc>
      </w:tr>
      <w:tr w:rsidR="00032209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032209" w:rsidRPr="00956CFE" w:rsidRDefault="00032209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032209" w:rsidRPr="00956CFE" w:rsidRDefault="00032209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032209" w:rsidRPr="00956CFE" w:rsidRDefault="00032209" w:rsidP="00441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032209" w:rsidRPr="00956CFE" w:rsidRDefault="00032209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32209" w:rsidRPr="00956CFE" w:rsidRDefault="00032209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2209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032209" w:rsidRPr="00A37497" w:rsidRDefault="00032209" w:rsidP="00655340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032209" w:rsidRPr="00A37497" w:rsidRDefault="00032209" w:rsidP="00655340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032209" w:rsidRPr="00A37497" w:rsidRDefault="00032209" w:rsidP="00441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032209" w:rsidRPr="00A37497" w:rsidRDefault="00032209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32209" w:rsidRPr="00A37497" w:rsidRDefault="00032209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2209" w:rsidRPr="00956CFE" w:rsidTr="00D105DC">
        <w:trPr>
          <w:jc w:val="center"/>
        </w:trPr>
        <w:tc>
          <w:tcPr>
            <w:tcW w:w="616" w:type="dxa"/>
          </w:tcPr>
          <w:p w:rsidR="00032209" w:rsidRPr="00956CFE" w:rsidRDefault="00032209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032209" w:rsidRPr="00956CFE" w:rsidRDefault="00032209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032209" w:rsidRPr="00956CFE" w:rsidRDefault="00832BAB" w:rsidP="00441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</w:t>
            </w:r>
            <w:r w:rsidR="00032209">
              <w:rPr>
                <w:sz w:val="28"/>
                <w:szCs w:val="28"/>
              </w:rPr>
              <w:t>0%)</w:t>
            </w:r>
          </w:p>
        </w:tc>
        <w:tc>
          <w:tcPr>
            <w:tcW w:w="1511" w:type="dxa"/>
          </w:tcPr>
          <w:p w:rsidR="00032209" w:rsidRPr="00956CFE" w:rsidRDefault="00832BAB" w:rsidP="00E9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361">
              <w:rPr>
                <w:sz w:val="28"/>
                <w:szCs w:val="28"/>
              </w:rPr>
              <w:t>(100%)</w:t>
            </w:r>
          </w:p>
        </w:tc>
        <w:tc>
          <w:tcPr>
            <w:tcW w:w="1982" w:type="dxa"/>
          </w:tcPr>
          <w:p w:rsidR="00032209" w:rsidRPr="00956CFE" w:rsidRDefault="00832BAB" w:rsidP="00E9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</w:t>
            </w:r>
            <w:r w:rsidR="006C2361">
              <w:rPr>
                <w:sz w:val="28"/>
                <w:szCs w:val="28"/>
              </w:rPr>
              <w:t>0%)</w:t>
            </w:r>
          </w:p>
        </w:tc>
      </w:tr>
      <w:tr w:rsidR="00032209" w:rsidRPr="00956CFE" w:rsidTr="00D105DC">
        <w:trPr>
          <w:jc w:val="center"/>
        </w:trPr>
        <w:tc>
          <w:tcPr>
            <w:tcW w:w="616" w:type="dxa"/>
          </w:tcPr>
          <w:p w:rsidR="00032209" w:rsidRPr="00956CFE" w:rsidRDefault="00032209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032209" w:rsidRPr="00956CFE" w:rsidRDefault="00032209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032209" w:rsidRPr="00956CFE" w:rsidRDefault="00032209" w:rsidP="00441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032209" w:rsidRPr="00956CFE" w:rsidRDefault="00032209" w:rsidP="00E9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032209" w:rsidRPr="00956CFE" w:rsidRDefault="00032209" w:rsidP="00E9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2209" w:rsidRPr="00956CFE" w:rsidTr="00D105DC">
        <w:trPr>
          <w:jc w:val="center"/>
        </w:trPr>
        <w:tc>
          <w:tcPr>
            <w:tcW w:w="616" w:type="dxa"/>
          </w:tcPr>
          <w:p w:rsidR="00032209" w:rsidRPr="00956CFE" w:rsidRDefault="00032209" w:rsidP="00655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032209" w:rsidRPr="00376241" w:rsidRDefault="00032209" w:rsidP="00655340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032209" w:rsidRPr="00BD0874" w:rsidRDefault="00032209" w:rsidP="004412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032209" w:rsidRPr="00BD0874" w:rsidRDefault="00832BAB" w:rsidP="00E9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032209" w:rsidRPr="00BD0874" w:rsidRDefault="00032209" w:rsidP="00E9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65534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65534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65534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65534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Pr="0020116E" w:rsidRDefault="00DB7E26" w:rsidP="00DB7E26">
      <w:pPr>
        <w:jc w:val="both"/>
        <w:rPr>
          <w:sz w:val="22"/>
          <w:szCs w:val="22"/>
        </w:rPr>
      </w:pPr>
    </w:p>
    <w:p w:rsidR="002678C3" w:rsidRPr="0020116E" w:rsidRDefault="0020116E" w:rsidP="002678C3">
      <w:pPr>
        <w:jc w:val="both"/>
        <w:rPr>
          <w:sz w:val="22"/>
          <w:szCs w:val="22"/>
        </w:rPr>
      </w:pPr>
      <w:r w:rsidRPr="0020116E">
        <w:rPr>
          <w:sz w:val="22"/>
          <w:szCs w:val="22"/>
        </w:rPr>
        <w:t>Татьяна Сергеевна Глызина</w:t>
      </w:r>
    </w:p>
    <w:p w:rsidR="00021B82" w:rsidRPr="0020116E" w:rsidRDefault="0020116E" w:rsidP="002678C3">
      <w:pPr>
        <w:jc w:val="both"/>
        <w:rPr>
          <w:sz w:val="22"/>
          <w:szCs w:val="22"/>
        </w:rPr>
      </w:pPr>
      <w:r w:rsidRPr="0020116E">
        <w:rPr>
          <w:sz w:val="22"/>
          <w:szCs w:val="22"/>
        </w:rPr>
        <w:t>8(86372)46172</w:t>
      </w:r>
    </w:p>
    <w:sectPr w:rsidR="00021B82" w:rsidRPr="0020116E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3B" w:rsidRDefault="00B1423B">
      <w:r>
        <w:separator/>
      </w:r>
    </w:p>
  </w:endnote>
  <w:endnote w:type="continuationSeparator" w:id="0">
    <w:p w:rsidR="00B1423B" w:rsidRDefault="00B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FE2DA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C44">
      <w:rPr>
        <w:noProof/>
      </w:rPr>
      <w:t>1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3B" w:rsidRDefault="00B1423B">
      <w:r>
        <w:separator/>
      </w:r>
    </w:p>
  </w:footnote>
  <w:footnote w:type="continuationSeparator" w:id="0">
    <w:p w:rsidR="00B1423B" w:rsidRDefault="00B1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3D0"/>
    <w:rsid w:val="00004329"/>
    <w:rsid w:val="00006585"/>
    <w:rsid w:val="0001567A"/>
    <w:rsid w:val="00015F40"/>
    <w:rsid w:val="00021B82"/>
    <w:rsid w:val="00026624"/>
    <w:rsid w:val="00027CD6"/>
    <w:rsid w:val="00032209"/>
    <w:rsid w:val="000333AC"/>
    <w:rsid w:val="0003534B"/>
    <w:rsid w:val="00046F58"/>
    <w:rsid w:val="000503D0"/>
    <w:rsid w:val="0006098E"/>
    <w:rsid w:val="00061793"/>
    <w:rsid w:val="00083EA5"/>
    <w:rsid w:val="000873B7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0F57B0"/>
    <w:rsid w:val="0010156D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A6F92"/>
    <w:rsid w:val="001C3D6E"/>
    <w:rsid w:val="001D2327"/>
    <w:rsid w:val="001D4F32"/>
    <w:rsid w:val="001E10C0"/>
    <w:rsid w:val="001E682F"/>
    <w:rsid w:val="001F58C7"/>
    <w:rsid w:val="001F7C50"/>
    <w:rsid w:val="0020116E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3B8E"/>
    <w:rsid w:val="0024441B"/>
    <w:rsid w:val="00245635"/>
    <w:rsid w:val="002477D8"/>
    <w:rsid w:val="0025359C"/>
    <w:rsid w:val="00257365"/>
    <w:rsid w:val="0025759A"/>
    <w:rsid w:val="00260201"/>
    <w:rsid w:val="002650D4"/>
    <w:rsid w:val="0026630F"/>
    <w:rsid w:val="002678C3"/>
    <w:rsid w:val="00272A45"/>
    <w:rsid w:val="00277893"/>
    <w:rsid w:val="0029517F"/>
    <w:rsid w:val="002A2E5A"/>
    <w:rsid w:val="002A3AB4"/>
    <w:rsid w:val="002B4A03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06CF1"/>
    <w:rsid w:val="00310A58"/>
    <w:rsid w:val="00324AFF"/>
    <w:rsid w:val="00345235"/>
    <w:rsid w:val="00350E60"/>
    <w:rsid w:val="00352B16"/>
    <w:rsid w:val="00355AC6"/>
    <w:rsid w:val="003668E4"/>
    <w:rsid w:val="003726DF"/>
    <w:rsid w:val="00374386"/>
    <w:rsid w:val="00376241"/>
    <w:rsid w:val="003816C5"/>
    <w:rsid w:val="003833A0"/>
    <w:rsid w:val="00392B91"/>
    <w:rsid w:val="00393B9C"/>
    <w:rsid w:val="0039765B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743F"/>
    <w:rsid w:val="00402F01"/>
    <w:rsid w:val="00405412"/>
    <w:rsid w:val="004119DD"/>
    <w:rsid w:val="0044071A"/>
    <w:rsid w:val="0044546D"/>
    <w:rsid w:val="0045375E"/>
    <w:rsid w:val="00454B40"/>
    <w:rsid w:val="00462654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3279"/>
    <w:rsid w:val="004D5A8E"/>
    <w:rsid w:val="004E1C75"/>
    <w:rsid w:val="004F17E3"/>
    <w:rsid w:val="004F30A5"/>
    <w:rsid w:val="004F4AA6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96DFE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3424"/>
    <w:rsid w:val="00604AD1"/>
    <w:rsid w:val="0060733C"/>
    <w:rsid w:val="00617AE6"/>
    <w:rsid w:val="006209B4"/>
    <w:rsid w:val="006209EC"/>
    <w:rsid w:val="0062152E"/>
    <w:rsid w:val="00623959"/>
    <w:rsid w:val="00624960"/>
    <w:rsid w:val="00626C20"/>
    <w:rsid w:val="00630831"/>
    <w:rsid w:val="00632E42"/>
    <w:rsid w:val="00643F57"/>
    <w:rsid w:val="00650D66"/>
    <w:rsid w:val="00657DE1"/>
    <w:rsid w:val="00666F8D"/>
    <w:rsid w:val="00667166"/>
    <w:rsid w:val="006738E5"/>
    <w:rsid w:val="00676204"/>
    <w:rsid w:val="0068439E"/>
    <w:rsid w:val="00686A71"/>
    <w:rsid w:val="0069404F"/>
    <w:rsid w:val="006A144D"/>
    <w:rsid w:val="006B0737"/>
    <w:rsid w:val="006B6DAF"/>
    <w:rsid w:val="006C2361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04E3C"/>
    <w:rsid w:val="00820A3D"/>
    <w:rsid w:val="00825245"/>
    <w:rsid w:val="008259B9"/>
    <w:rsid w:val="00832BAB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900F6"/>
    <w:rsid w:val="008A37D7"/>
    <w:rsid w:val="008B0E18"/>
    <w:rsid w:val="008B2B10"/>
    <w:rsid w:val="008B2C8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28AA"/>
    <w:rsid w:val="0092034B"/>
    <w:rsid w:val="009231C8"/>
    <w:rsid w:val="00933F72"/>
    <w:rsid w:val="00937082"/>
    <w:rsid w:val="0093793A"/>
    <w:rsid w:val="00940064"/>
    <w:rsid w:val="0095002B"/>
    <w:rsid w:val="00956CFE"/>
    <w:rsid w:val="00961F85"/>
    <w:rsid w:val="00963BF6"/>
    <w:rsid w:val="00974558"/>
    <w:rsid w:val="00987A70"/>
    <w:rsid w:val="009B4086"/>
    <w:rsid w:val="009B5DDA"/>
    <w:rsid w:val="009D1423"/>
    <w:rsid w:val="009D3432"/>
    <w:rsid w:val="009D6CA0"/>
    <w:rsid w:val="009E6EEC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423B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65B6E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B6675"/>
    <w:rsid w:val="00BC527E"/>
    <w:rsid w:val="00BC71B2"/>
    <w:rsid w:val="00BD0874"/>
    <w:rsid w:val="00BD6A80"/>
    <w:rsid w:val="00BD7F57"/>
    <w:rsid w:val="00BE40D4"/>
    <w:rsid w:val="00BE638E"/>
    <w:rsid w:val="00BF2222"/>
    <w:rsid w:val="00C20C01"/>
    <w:rsid w:val="00C23E8F"/>
    <w:rsid w:val="00C2719C"/>
    <w:rsid w:val="00C32B4E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5DC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812EF"/>
    <w:rsid w:val="00D90AC2"/>
    <w:rsid w:val="00D96ECA"/>
    <w:rsid w:val="00DA12C4"/>
    <w:rsid w:val="00DA34A6"/>
    <w:rsid w:val="00DA731F"/>
    <w:rsid w:val="00DB041D"/>
    <w:rsid w:val="00DB1315"/>
    <w:rsid w:val="00DB3894"/>
    <w:rsid w:val="00DB45AA"/>
    <w:rsid w:val="00DB7E26"/>
    <w:rsid w:val="00DC234C"/>
    <w:rsid w:val="00DD5A27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70B"/>
    <w:rsid w:val="00E13D22"/>
    <w:rsid w:val="00E1572A"/>
    <w:rsid w:val="00E21541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25C7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752CF"/>
    <w:rsid w:val="00F83AEC"/>
    <w:rsid w:val="00F872BF"/>
    <w:rsid w:val="00F925EB"/>
    <w:rsid w:val="00F9457F"/>
    <w:rsid w:val="00F955E6"/>
    <w:rsid w:val="00F97C44"/>
    <w:rsid w:val="00FA05D4"/>
    <w:rsid w:val="00FA531C"/>
    <w:rsid w:val="00FA6308"/>
    <w:rsid w:val="00FB5C75"/>
    <w:rsid w:val="00FC32C7"/>
    <w:rsid w:val="00FC407F"/>
    <w:rsid w:val="00FE2320"/>
    <w:rsid w:val="00FE2A48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октябрь 2021г.</c:v>
                </c:pt>
                <c:pt idx="1">
                  <c:v>сентябрь 2022 г.</c:v>
                </c:pt>
                <c:pt idx="2">
                  <c:v>октябрь 2022г.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2021г.</c:v>
                </c:pt>
                <c:pt idx="1">
                  <c:v>сентябрь 2022 г.</c:v>
                </c:pt>
                <c:pt idx="2">
                  <c:v>октябрь 2022г.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2021г.</c:v>
                </c:pt>
                <c:pt idx="1">
                  <c:v>сентябрь 2022 г.</c:v>
                </c:pt>
                <c:pt idx="2">
                  <c:v>октябрь 2022г.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756480"/>
        <c:axId val="120766464"/>
      </c:barChart>
      <c:catAx>
        <c:axId val="12075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66464"/>
        <c:crosses val="autoZero"/>
        <c:auto val="1"/>
        <c:lblAlgn val="ctr"/>
        <c:lblOffset val="100"/>
        <c:noMultiLvlLbl val="0"/>
      </c:catAx>
      <c:valAx>
        <c:axId val="12076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56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октябрь 2021г</c:v>
                </c:pt>
                <c:pt idx="1">
                  <c:v>сентябрь 2022г</c:v>
                </c:pt>
                <c:pt idx="2">
                  <c:v>октябрь 2022г.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2021г</c:v>
                </c:pt>
                <c:pt idx="1">
                  <c:v>сентябрь 2022г</c:v>
                </c:pt>
                <c:pt idx="2">
                  <c:v>октябрь 2022г.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2021г</c:v>
                </c:pt>
                <c:pt idx="1">
                  <c:v>сентябрь 2022г</c:v>
                </c:pt>
                <c:pt idx="2">
                  <c:v>октябрь 2022г.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779520"/>
        <c:axId val="120781056"/>
      </c:barChart>
      <c:catAx>
        <c:axId val="12077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81056"/>
        <c:crosses val="autoZero"/>
        <c:auto val="1"/>
        <c:lblAlgn val="ctr"/>
        <c:lblOffset val="100"/>
        <c:noMultiLvlLbl val="0"/>
      </c:catAx>
      <c:valAx>
        <c:axId val="12078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7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2022год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908800"/>
        <c:axId val="120910592"/>
      </c:barChart>
      <c:catAx>
        <c:axId val="12090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910592"/>
        <c:crosses val="autoZero"/>
        <c:auto val="1"/>
        <c:lblAlgn val="ctr"/>
        <c:lblOffset val="100"/>
        <c:noMultiLvlLbl val="0"/>
      </c:catAx>
      <c:valAx>
        <c:axId val="12091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90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2021г</c:v>
                </c:pt>
                <c:pt idx="1">
                  <c:v>сентябрь 2022г.</c:v>
                </c:pt>
                <c:pt idx="2">
                  <c:v>октябрь 2022г.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2021г</c:v>
                </c:pt>
                <c:pt idx="1">
                  <c:v>сентябрь 2022г.</c:v>
                </c:pt>
                <c:pt idx="2">
                  <c:v>октябрь 2022г.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2021г</c:v>
                </c:pt>
                <c:pt idx="1">
                  <c:v>сентябрь 2022г.</c:v>
                </c:pt>
                <c:pt idx="2">
                  <c:v>октябрь 2022г.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081216"/>
        <c:axId val="121087104"/>
        <c:axId val="0"/>
      </c:bar3DChart>
      <c:catAx>
        <c:axId val="12108121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1087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087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10812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0AE5-A5C0-424B-B95C-025A4C7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429</cp:revision>
  <cp:lastPrinted>2020-05-28T05:54:00Z</cp:lastPrinted>
  <dcterms:created xsi:type="dcterms:W3CDTF">2018-12-21T05:05:00Z</dcterms:created>
  <dcterms:modified xsi:type="dcterms:W3CDTF">2022-10-25T11:45:00Z</dcterms:modified>
</cp:coreProperties>
</file>