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386824" w:rsidRDefault="00761AF2" w:rsidP="008267BE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8267BE">
        <w:rPr>
          <w:b/>
          <w:sz w:val="28"/>
          <w:szCs w:val="28"/>
        </w:rPr>
        <w:t xml:space="preserve"> </w:t>
      </w:r>
      <w:r w:rsidR="00490C6F">
        <w:rPr>
          <w:b/>
          <w:sz w:val="28"/>
          <w:szCs w:val="28"/>
        </w:rPr>
        <w:t>2022</w:t>
      </w:r>
      <w:r w:rsidR="00BC71B2" w:rsidRPr="00956CFE">
        <w:rPr>
          <w:b/>
          <w:sz w:val="28"/>
          <w:szCs w:val="28"/>
        </w:rPr>
        <w:t xml:space="preserve"> год в срав</w:t>
      </w:r>
      <w:r w:rsidR="00FF7208">
        <w:rPr>
          <w:b/>
          <w:sz w:val="28"/>
          <w:szCs w:val="28"/>
        </w:rPr>
        <w:t>н</w:t>
      </w:r>
      <w:r w:rsidR="00490C6F">
        <w:rPr>
          <w:b/>
          <w:sz w:val="28"/>
          <w:szCs w:val="28"/>
        </w:rPr>
        <w:t>ении с аналогичным периодом 2021</w:t>
      </w:r>
      <w:r w:rsidR="00BC71B2" w:rsidRPr="00956CFE">
        <w:rPr>
          <w:b/>
          <w:sz w:val="28"/>
          <w:szCs w:val="28"/>
        </w:rPr>
        <w:t xml:space="preserve"> года</w:t>
      </w:r>
      <w:r w:rsidR="008267BE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>обращений граждан, организаций и общественных объединений,</w:t>
      </w:r>
      <w:r w:rsidR="008267BE">
        <w:rPr>
          <w:b/>
          <w:sz w:val="28"/>
          <w:szCs w:val="28"/>
        </w:rPr>
        <w:t xml:space="preserve"> </w:t>
      </w:r>
      <w:r w:rsidR="006738E5"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490C6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12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 w:rsidR="00062E60">
        <w:rPr>
          <w:b/>
          <w:sz w:val="28"/>
          <w:szCs w:val="28"/>
        </w:rPr>
        <w:t>й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="00BC71B2" w:rsidRPr="00956CFE">
        <w:rPr>
          <w:sz w:val="28"/>
          <w:szCs w:val="28"/>
        </w:rPr>
        <w:t xml:space="preserve">содержащих </w:t>
      </w:r>
      <w:r>
        <w:rPr>
          <w:sz w:val="28"/>
          <w:szCs w:val="28"/>
        </w:rPr>
        <w:t>15</w:t>
      </w:r>
      <w:r w:rsidR="00FF7208">
        <w:rPr>
          <w:sz w:val="28"/>
          <w:szCs w:val="28"/>
        </w:rPr>
        <w:t xml:space="preserve"> вопросов</w:t>
      </w:r>
      <w:r w:rsidR="005451BD" w:rsidRPr="00956CFE">
        <w:rPr>
          <w:sz w:val="28"/>
          <w:szCs w:val="28"/>
        </w:rPr>
        <w:t>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FF7208">
        <w:rPr>
          <w:sz w:val="28"/>
          <w:szCs w:val="28"/>
        </w:rPr>
        <w:t>в 2021</w:t>
      </w:r>
      <w:r w:rsidR="00BC71B2" w:rsidRPr="00956CFE">
        <w:rPr>
          <w:sz w:val="28"/>
          <w:szCs w:val="28"/>
        </w:rPr>
        <w:t xml:space="preserve"> году</w:t>
      </w:r>
      <w:r w:rsidR="00F54EA7">
        <w:rPr>
          <w:sz w:val="28"/>
          <w:szCs w:val="28"/>
        </w:rPr>
        <w:t xml:space="preserve"> обращений 100%</w:t>
      </w:r>
      <w:r w:rsidR="0091766F">
        <w:rPr>
          <w:sz w:val="28"/>
          <w:szCs w:val="28"/>
        </w:rPr>
        <w:t xml:space="preserve"> </w:t>
      </w:r>
      <w:r w:rsidR="0092034B" w:rsidRPr="00956CFE">
        <w:rPr>
          <w:sz w:val="28"/>
          <w:szCs w:val="28"/>
        </w:rPr>
        <w:t>(</w:t>
      </w:r>
      <w:r w:rsidR="00490C6F">
        <w:rPr>
          <w:sz w:val="28"/>
          <w:szCs w:val="28"/>
        </w:rPr>
        <w:t>14), а в 2022</w:t>
      </w:r>
      <w:r w:rsidR="007455AE" w:rsidRPr="00956CFE">
        <w:rPr>
          <w:sz w:val="28"/>
          <w:szCs w:val="28"/>
        </w:rPr>
        <w:t xml:space="preserve"> году </w:t>
      </w:r>
      <w:r w:rsidR="00490C6F">
        <w:rPr>
          <w:sz w:val="28"/>
          <w:szCs w:val="28"/>
        </w:rPr>
        <w:t>98</w:t>
      </w:r>
      <w:r w:rsidR="0091766F">
        <w:rPr>
          <w:sz w:val="28"/>
          <w:szCs w:val="28"/>
        </w:rPr>
        <w:t>%</w:t>
      </w:r>
      <w:r w:rsidR="00FF7208">
        <w:rPr>
          <w:sz w:val="28"/>
          <w:szCs w:val="28"/>
        </w:rPr>
        <w:t xml:space="preserve"> </w:t>
      </w:r>
      <w:r w:rsidR="0091766F">
        <w:rPr>
          <w:sz w:val="28"/>
          <w:szCs w:val="28"/>
        </w:rPr>
        <w:t xml:space="preserve"> </w:t>
      </w:r>
      <w:r w:rsidR="007455AE" w:rsidRPr="00956CFE">
        <w:rPr>
          <w:sz w:val="28"/>
          <w:szCs w:val="28"/>
        </w:rPr>
        <w:t>(</w:t>
      </w:r>
      <w:r w:rsidR="00490C6F">
        <w:rPr>
          <w:sz w:val="28"/>
          <w:szCs w:val="28"/>
        </w:rPr>
        <w:t>12) это на 2% меньше чем в 2021году.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57DE1" w:rsidRPr="00956CFE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761AF2" w:rsidRPr="00956CFE">
        <w:rPr>
          <w:sz w:val="28"/>
          <w:szCs w:val="28"/>
        </w:rPr>
        <w:t xml:space="preserve">00 </w:t>
      </w:r>
      <w:r w:rsidR="00490C6F">
        <w:rPr>
          <w:sz w:val="28"/>
          <w:szCs w:val="28"/>
        </w:rPr>
        <w:t>жителей на 1 января 2022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FF7208">
        <w:rPr>
          <w:sz w:val="28"/>
          <w:szCs w:val="28"/>
        </w:rPr>
        <w:t>в 2021</w:t>
      </w:r>
      <w:r w:rsidR="00386824">
        <w:rPr>
          <w:sz w:val="28"/>
          <w:szCs w:val="28"/>
        </w:rPr>
        <w:t> году составил 0</w:t>
      </w:r>
      <w:r w:rsidR="00CF7988">
        <w:rPr>
          <w:sz w:val="28"/>
          <w:szCs w:val="28"/>
        </w:rPr>
        <w:t>,09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%,  в</w:t>
      </w:r>
      <w:r w:rsidR="00490C6F">
        <w:rPr>
          <w:sz w:val="28"/>
          <w:szCs w:val="28"/>
        </w:rPr>
        <w:t xml:space="preserve"> 2021</w:t>
      </w:r>
      <w:r w:rsidR="001101F2">
        <w:rPr>
          <w:sz w:val="28"/>
          <w:szCs w:val="28"/>
        </w:rPr>
        <w:t xml:space="preserve"> – 0,</w:t>
      </w:r>
      <w:r w:rsidR="00FF7208">
        <w:rPr>
          <w:sz w:val="28"/>
          <w:szCs w:val="28"/>
        </w:rPr>
        <w:t>09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490C6F">
        <w:rPr>
          <w:sz w:val="28"/>
          <w:szCs w:val="28"/>
        </w:rPr>
        <w:t>1500 жителей на 1 января 2021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90C6F">
        <w:rPr>
          <w:sz w:val="28"/>
          <w:szCs w:val="28"/>
        </w:rPr>
        <w:t>в 2021 и 2022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FF7208">
        <w:rPr>
          <w:sz w:val="28"/>
          <w:szCs w:val="28"/>
        </w:rPr>
        <w:t>в 2021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490C6F">
        <w:rPr>
          <w:sz w:val="28"/>
          <w:szCs w:val="28"/>
        </w:rPr>
        <w:t>2022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FF720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490C6F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FF7208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FF7208" w:rsidRPr="00956CFE" w:rsidRDefault="00FF720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FF7208" w:rsidRPr="00956CFE" w:rsidRDefault="00FF720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F7208" w:rsidRPr="00956CFE" w:rsidRDefault="00FF7208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985" w:type="dxa"/>
            <w:vAlign w:val="center"/>
          </w:tcPr>
          <w:p w:rsidR="00FF7208" w:rsidRPr="00956CFE" w:rsidRDefault="00701ED0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F7208" w:rsidRPr="00956CFE" w:rsidRDefault="00701ED0" w:rsidP="00045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</w:tr>
      <w:tr w:rsidR="00FF7208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FF7208" w:rsidRPr="00956CFE" w:rsidRDefault="00FF720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FF7208" w:rsidRPr="00956CFE" w:rsidRDefault="00FF720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FF7208" w:rsidRPr="00956CFE" w:rsidRDefault="00FF7208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FF7208" w:rsidRPr="00956CFE" w:rsidRDefault="00FF7208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F7208" w:rsidRPr="00956CFE" w:rsidRDefault="00FF7208" w:rsidP="00045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7208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FF7208" w:rsidRPr="00956CFE" w:rsidRDefault="00FF720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FF7208" w:rsidRPr="00956CFE" w:rsidRDefault="00FF7208" w:rsidP="00B77A4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FF7208" w:rsidRPr="00956CFE" w:rsidRDefault="00FF7208" w:rsidP="00B77A4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985" w:type="dxa"/>
            <w:vAlign w:val="center"/>
          </w:tcPr>
          <w:p w:rsidR="00FF7208" w:rsidRPr="00956CFE" w:rsidRDefault="00490C6F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1ED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F7208" w:rsidRPr="00956CFE" w:rsidRDefault="00701ED0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  <w:r w:rsidR="00FF7208">
              <w:rPr>
                <w:sz w:val="24"/>
                <w:szCs w:val="24"/>
              </w:rPr>
              <w:t>%</w:t>
            </w:r>
          </w:p>
        </w:tc>
      </w:tr>
      <w:tr w:rsidR="00FF7208" w:rsidRPr="00956CFE" w:rsidTr="00A62A5F">
        <w:trPr>
          <w:jc w:val="center"/>
        </w:trPr>
        <w:tc>
          <w:tcPr>
            <w:tcW w:w="1784" w:type="dxa"/>
            <w:vAlign w:val="center"/>
          </w:tcPr>
          <w:p w:rsidR="00FF7208" w:rsidRPr="00956CFE" w:rsidRDefault="00FF720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FF7208" w:rsidRPr="00956CFE" w:rsidRDefault="00FF7208" w:rsidP="00B77A4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FF7208" w:rsidRPr="00956CFE" w:rsidRDefault="00FF7208" w:rsidP="00B77A4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85" w:type="dxa"/>
            <w:vAlign w:val="center"/>
          </w:tcPr>
          <w:p w:rsidR="00FF7208" w:rsidRPr="00956CFE" w:rsidRDefault="00490C6F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F7208" w:rsidRPr="00956CFE" w:rsidRDefault="00FF7208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956CFE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701ED0">
        <w:rPr>
          <w:sz w:val="28"/>
          <w:szCs w:val="28"/>
        </w:rPr>
        <w:t xml:space="preserve"> 2022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701ED0">
        <w:rPr>
          <w:sz w:val="28"/>
          <w:szCs w:val="28"/>
        </w:rPr>
        <w:t>021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701ED0"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</w:t>
      </w:r>
      <w:r w:rsidR="00402F01" w:rsidRPr="00956CFE">
        <w:rPr>
          <w:sz w:val="28"/>
          <w:szCs w:val="28"/>
        </w:rPr>
        <w:t>и</w:t>
      </w:r>
      <w:r w:rsidR="00AE2816" w:rsidRPr="00956CFE">
        <w:rPr>
          <w:sz w:val="28"/>
          <w:szCs w:val="28"/>
        </w:rPr>
        <w:t xml:space="preserve"> </w:t>
      </w:r>
      <w:r w:rsidR="00701ED0">
        <w:rPr>
          <w:sz w:val="28"/>
          <w:szCs w:val="28"/>
        </w:rPr>
        <w:t>2021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FF7208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FF7208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FF7208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FF7208" w:rsidRPr="00956CFE" w:rsidRDefault="00FF7208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FF7208" w:rsidRPr="00956CFE" w:rsidRDefault="00FF7208" w:rsidP="00BC71B2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FF7208" w:rsidRPr="00956CFE" w:rsidRDefault="00FF720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F7208" w:rsidRPr="00956CFE" w:rsidRDefault="00701ED0" w:rsidP="000454DE">
            <w:pPr>
              <w:jc w:val="center"/>
            </w:pPr>
            <w:r>
              <w:t>15</w:t>
            </w:r>
          </w:p>
        </w:tc>
        <w:tc>
          <w:tcPr>
            <w:tcW w:w="2409" w:type="dxa"/>
            <w:vAlign w:val="center"/>
          </w:tcPr>
          <w:p w:rsidR="00FF7208" w:rsidRPr="00956CFE" w:rsidRDefault="00FF7208" w:rsidP="00045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F7208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FF7208" w:rsidRPr="00956CFE" w:rsidRDefault="00FF7208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FF7208" w:rsidRPr="00956CFE" w:rsidRDefault="00FF720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7208" w:rsidRPr="00956CFE" w:rsidRDefault="00FF720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F7208" w:rsidRPr="00956CFE" w:rsidRDefault="00FF7208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FF7208" w:rsidRPr="00956CFE" w:rsidRDefault="00FF7208" w:rsidP="00045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F7208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FF7208" w:rsidRPr="00956CFE" w:rsidRDefault="00FF7208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FF7208" w:rsidRPr="00956CFE" w:rsidRDefault="00FF7208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F7208" w:rsidRPr="00956CFE" w:rsidRDefault="00FF720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F7208" w:rsidRPr="00956CFE" w:rsidRDefault="00FF7208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FF7208" w:rsidRPr="00956CFE" w:rsidRDefault="00FF7208" w:rsidP="00045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F7208" w:rsidRPr="00956CFE" w:rsidTr="004119DD">
        <w:trPr>
          <w:jc w:val="center"/>
        </w:trPr>
        <w:tc>
          <w:tcPr>
            <w:tcW w:w="1784" w:type="dxa"/>
            <w:vAlign w:val="center"/>
          </w:tcPr>
          <w:p w:rsidR="00FF7208" w:rsidRPr="00956CFE" w:rsidRDefault="00FF7208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FF7208" w:rsidRPr="00956CFE" w:rsidRDefault="00FF7208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F7208" w:rsidRPr="00956CFE" w:rsidRDefault="00FF7208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FF7208" w:rsidRPr="00956CFE" w:rsidRDefault="00701ED0" w:rsidP="000454DE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FF7208" w:rsidRPr="00956CFE" w:rsidRDefault="00FF7208" w:rsidP="000454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="00701ED0">
        <w:rPr>
          <w:sz w:val="28"/>
          <w:szCs w:val="28"/>
        </w:rPr>
        <w:t>2022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="00B30965">
        <w:rPr>
          <w:sz w:val="28"/>
          <w:szCs w:val="28"/>
        </w:rPr>
        <w:t xml:space="preserve"> обращений.</w:t>
      </w:r>
      <w:r w:rsidR="00B30965">
        <w:rPr>
          <w:b/>
          <w:sz w:val="28"/>
          <w:szCs w:val="28"/>
        </w:rPr>
        <w:t xml:space="preserve"> В </w:t>
      </w:r>
      <w:r w:rsidR="00701ED0">
        <w:rPr>
          <w:b/>
          <w:sz w:val="28"/>
          <w:szCs w:val="28"/>
        </w:rPr>
        <w:t>2022</w:t>
      </w:r>
      <w:r w:rsidR="004119DD" w:rsidRPr="00956CFE">
        <w:rPr>
          <w:b/>
          <w:sz w:val="28"/>
          <w:szCs w:val="28"/>
        </w:rPr>
        <w:t xml:space="preserve"> - </w:t>
      </w:r>
      <w:r w:rsidR="00701ED0">
        <w:rPr>
          <w:b/>
          <w:sz w:val="28"/>
          <w:szCs w:val="28"/>
        </w:rPr>
        <w:t>12</w:t>
      </w:r>
      <w:r w:rsidR="0082663B">
        <w:rPr>
          <w:b/>
          <w:sz w:val="28"/>
          <w:szCs w:val="28"/>
        </w:rPr>
        <w:t xml:space="preserve"> обращений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8D619B">
        <w:rPr>
          <w:b/>
          <w:sz w:val="28"/>
          <w:szCs w:val="28"/>
        </w:rPr>
        <w:t>0</w:t>
      </w:r>
      <w:r w:rsidR="00701ED0">
        <w:rPr>
          <w:b/>
          <w:sz w:val="28"/>
          <w:szCs w:val="28"/>
        </w:rPr>
        <w:t>,08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70578A">
        <w:rPr>
          <w:sz w:val="28"/>
          <w:szCs w:val="28"/>
        </w:rPr>
        <w:t xml:space="preserve"> </w:t>
      </w:r>
      <w:r w:rsidR="00701ED0">
        <w:rPr>
          <w:sz w:val="28"/>
          <w:szCs w:val="28"/>
        </w:rPr>
        <w:t xml:space="preserve">                     </w:t>
      </w:r>
      <w:r w:rsidR="0070578A">
        <w:rPr>
          <w:sz w:val="28"/>
          <w:szCs w:val="28"/>
        </w:rPr>
        <w:t>(в 20</w:t>
      </w:r>
      <w:r w:rsidR="00701ED0">
        <w:rPr>
          <w:sz w:val="28"/>
          <w:szCs w:val="28"/>
        </w:rPr>
        <w:t>21</w:t>
      </w:r>
      <w:r w:rsidR="0082663B">
        <w:rPr>
          <w:sz w:val="28"/>
          <w:szCs w:val="28"/>
        </w:rPr>
        <w:t xml:space="preserve"> обращений</w:t>
      </w:r>
      <w:r w:rsidR="00B232DF" w:rsidRPr="00956CFE">
        <w:rPr>
          <w:sz w:val="28"/>
          <w:szCs w:val="28"/>
        </w:rPr>
        <w:t xml:space="preserve">, что составляет </w:t>
      </w:r>
      <w:r w:rsidR="00701ED0">
        <w:rPr>
          <w:sz w:val="28"/>
          <w:szCs w:val="28"/>
        </w:rPr>
        <w:t>0,09</w:t>
      </w:r>
      <w:r w:rsidR="00F042A0" w:rsidRPr="00956CFE">
        <w:rPr>
          <w:sz w:val="28"/>
          <w:szCs w:val="28"/>
        </w:rPr>
        <w:t xml:space="preserve"> 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701ED0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701ED0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FF7208" w:rsidP="0006098E">
            <w:pPr>
              <w:jc w:val="center"/>
            </w:pPr>
            <w:r>
              <w:t>2021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FF7208" w:rsidP="0006098E">
            <w:pPr>
              <w:jc w:val="center"/>
            </w:pPr>
            <w:r>
              <w:t>% от общего количества, 2021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B74362" w:rsidP="0006098E">
            <w:pPr>
              <w:jc w:val="center"/>
            </w:pPr>
            <w:r>
              <w:t>2022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B74362" w:rsidP="0006098E">
            <w:pPr>
              <w:jc w:val="center"/>
            </w:pPr>
            <w:r>
              <w:t>% от общего количества, 2022</w:t>
            </w:r>
            <w:r w:rsidR="0001567A" w:rsidRPr="00956CFE">
              <w:t xml:space="preserve"> год</w:t>
            </w:r>
          </w:p>
        </w:tc>
      </w:tr>
      <w:tr w:rsidR="0070578A" w:rsidRPr="00956CFE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2.7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60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60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956CFE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B77A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B77A49">
            <w:pPr>
              <w:jc w:val="center"/>
              <w:rPr>
                <w:color w:val="000000"/>
              </w:rPr>
            </w:pPr>
          </w:p>
        </w:tc>
      </w:tr>
      <w:tr w:rsidR="0070578A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 xml:space="preserve">Предоставление дополнительных льгот отдельным категориям граждан, установленных законодательством </w:t>
            </w:r>
            <w:r w:rsidRPr="00956CFE">
              <w:lastRenderedPageBreak/>
              <w:t>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956CFE" w:rsidTr="0006098E">
        <w:tc>
          <w:tcPr>
            <w:tcW w:w="708" w:type="dxa"/>
            <w:shd w:val="clear" w:color="auto" w:fill="FFFFFF" w:themeFill="background1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70578A" w:rsidRPr="00956CFE" w:rsidRDefault="0070578A" w:rsidP="0006098E">
            <w:pPr>
              <w:jc w:val="center"/>
            </w:pPr>
            <w:r>
              <w:t>Оказание финансовой помощи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F7208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F7208" w:rsidRPr="00956CFE" w:rsidRDefault="00FF7208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FF7208" w:rsidRPr="00956CFE" w:rsidRDefault="00FF7208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7208" w:rsidRPr="00956CFE" w:rsidRDefault="00FF720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7208" w:rsidRPr="00956CFE" w:rsidRDefault="00FF7208" w:rsidP="008D61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37,8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7208" w:rsidRPr="00956CFE" w:rsidRDefault="00B74362" w:rsidP="00045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F7208" w:rsidRPr="00956CFE" w:rsidRDefault="00B74362" w:rsidP="000454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32,4</w:t>
            </w:r>
          </w:p>
        </w:tc>
      </w:tr>
      <w:tr w:rsidR="00FF7208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208" w:rsidRPr="00956CFE" w:rsidRDefault="00FF7208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208" w:rsidRPr="00956CFE" w:rsidRDefault="00FF7208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208" w:rsidRPr="00956CFE" w:rsidRDefault="00FF7208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208" w:rsidRPr="00956CFE" w:rsidRDefault="00FF7208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208" w:rsidRPr="00956CFE" w:rsidRDefault="00FF7208" w:rsidP="00045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208" w:rsidRPr="00956CFE" w:rsidRDefault="00FF7208" w:rsidP="000454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FF7208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FF7208" w:rsidRPr="00956CFE" w:rsidRDefault="00FF7208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FF7208" w:rsidRPr="00956CFE" w:rsidRDefault="00FF7208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FF7208" w:rsidRPr="00956CFE" w:rsidRDefault="00FF7208" w:rsidP="00EF7B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FF7208" w:rsidRPr="00956CFE" w:rsidRDefault="00FF7208" w:rsidP="00EF7B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37,8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FF7208" w:rsidRPr="00956CFE" w:rsidRDefault="00B74362" w:rsidP="00045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FF7208" w:rsidRPr="00956CFE" w:rsidRDefault="00B74362" w:rsidP="000454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32,4</w:t>
            </w:r>
          </w:p>
        </w:tc>
      </w:tr>
      <w:tr w:rsidR="0070578A" w:rsidRPr="003B0F36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Водоснабжение поселений.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3B0F36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Электрификация поселений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3B0F36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Пассажирский транспорт на селе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3B0F36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Борьба с аварийностью. Безопасность дорожного движения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5.5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Жилищный фонд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</w:p>
        </w:tc>
      </w:tr>
      <w:tr w:rsidR="0070578A" w:rsidRPr="003B0F36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956CFE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Перебои в электроснабжении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956CFE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956CFE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Перебои в водоснабжении.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0578A" w:rsidRPr="00956CFE" w:rsidTr="0006098E">
        <w:tc>
          <w:tcPr>
            <w:tcW w:w="708" w:type="dxa"/>
            <w:vAlign w:val="center"/>
          </w:tcPr>
          <w:p w:rsidR="0070578A" w:rsidRPr="00956CFE" w:rsidRDefault="0070578A" w:rsidP="0006098E">
            <w:pPr>
              <w:jc w:val="center"/>
            </w:pPr>
          </w:p>
        </w:tc>
        <w:tc>
          <w:tcPr>
            <w:tcW w:w="4679" w:type="dxa"/>
            <w:vAlign w:val="center"/>
          </w:tcPr>
          <w:p w:rsidR="0070578A" w:rsidRPr="00956CFE" w:rsidRDefault="0070578A" w:rsidP="0006098E">
            <w:pPr>
              <w:jc w:val="center"/>
            </w:pPr>
            <w:r w:rsidRPr="00956CFE">
              <w:t>Борьба с антисанитарией. Уборка мусора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70578A" w:rsidRPr="00956CFE" w:rsidRDefault="0070578A" w:rsidP="00B77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5659C2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2021</w:t>
            </w:r>
            <w:r w:rsidR="000D1B5F"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B74362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956CFE">
              <w:rPr>
                <w:sz w:val="28"/>
                <w:szCs w:val="28"/>
              </w:rPr>
              <w:t>год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70578A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70578A">
              <w:rPr>
                <w:sz w:val="28"/>
                <w:szCs w:val="28"/>
              </w:rPr>
              <w:t>,09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B74362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D1B5F" w:rsidRPr="00956CFE" w:rsidRDefault="00BC71B2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 xml:space="preserve"> (</w:t>
            </w:r>
            <w:r w:rsidR="00B74362">
              <w:rPr>
                <w:sz w:val="28"/>
                <w:szCs w:val="28"/>
              </w:rPr>
              <w:t>0,08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70578A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6273" w:rsidRPr="00956CFE" w:rsidRDefault="008D619B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</w:t>
            </w:r>
            <w:r w:rsidR="0070578A">
              <w:rPr>
                <w:sz w:val="28"/>
                <w:szCs w:val="28"/>
              </w:rPr>
              <w:t>,09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956CFE" w:rsidRDefault="00B7436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D1B5F" w:rsidRPr="00956CFE" w:rsidRDefault="008D619B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74362">
              <w:rPr>
                <w:sz w:val="28"/>
                <w:szCs w:val="28"/>
              </w:rPr>
              <w:t>0,08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956CFE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bookmarkEnd w:id="0"/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  <w:r w:rsidRPr="00956CFE">
        <w:rPr>
          <w:noProof/>
          <w:sz w:val="28"/>
          <w:szCs w:val="28"/>
        </w:rPr>
        <w:drawing>
          <wp:inline distT="0" distB="0" distL="0" distR="0" wp14:anchorId="1833006A" wp14:editId="77A3A497">
            <wp:extent cx="5534025" cy="26193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192F" w:rsidRDefault="00C5192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sectPr w:rsidR="00C5192F" w:rsidSect="00C62559">
      <w:footerReference w:type="default" r:id="rId21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34" w:rsidRDefault="00DA0634">
      <w:r>
        <w:separator/>
      </w:r>
    </w:p>
  </w:endnote>
  <w:endnote w:type="continuationSeparator" w:id="0">
    <w:p w:rsidR="00DA0634" w:rsidRDefault="00DA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362">
      <w:rPr>
        <w:noProof/>
      </w:rPr>
      <w:t>5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34" w:rsidRDefault="00DA0634">
      <w:r>
        <w:separator/>
      </w:r>
    </w:p>
  </w:footnote>
  <w:footnote w:type="continuationSeparator" w:id="0">
    <w:p w:rsidR="00DA0634" w:rsidRDefault="00DA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7CD6"/>
    <w:rsid w:val="000333AC"/>
    <w:rsid w:val="0003534B"/>
    <w:rsid w:val="000444B1"/>
    <w:rsid w:val="00046F58"/>
    <w:rsid w:val="000503D0"/>
    <w:rsid w:val="00057E33"/>
    <w:rsid w:val="0006098E"/>
    <w:rsid w:val="00062E60"/>
    <w:rsid w:val="00083EA5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C26C6"/>
    <w:rsid w:val="002C2AA1"/>
    <w:rsid w:val="002C65B4"/>
    <w:rsid w:val="002D4A9D"/>
    <w:rsid w:val="002E32E3"/>
    <w:rsid w:val="002E4232"/>
    <w:rsid w:val="00301233"/>
    <w:rsid w:val="00305DF4"/>
    <w:rsid w:val="00324AFF"/>
    <w:rsid w:val="00332F1A"/>
    <w:rsid w:val="00350E60"/>
    <w:rsid w:val="00352B16"/>
    <w:rsid w:val="003668E4"/>
    <w:rsid w:val="003816C5"/>
    <w:rsid w:val="003833A0"/>
    <w:rsid w:val="00386824"/>
    <w:rsid w:val="00393130"/>
    <w:rsid w:val="00393B9C"/>
    <w:rsid w:val="003A5A87"/>
    <w:rsid w:val="003B0F36"/>
    <w:rsid w:val="003B5B5A"/>
    <w:rsid w:val="003B6D8B"/>
    <w:rsid w:val="003C178D"/>
    <w:rsid w:val="003C313A"/>
    <w:rsid w:val="003D6280"/>
    <w:rsid w:val="003E1234"/>
    <w:rsid w:val="00402F01"/>
    <w:rsid w:val="00405412"/>
    <w:rsid w:val="004119DD"/>
    <w:rsid w:val="0044071A"/>
    <w:rsid w:val="0045375E"/>
    <w:rsid w:val="00454B40"/>
    <w:rsid w:val="0047793C"/>
    <w:rsid w:val="00480E9C"/>
    <w:rsid w:val="00483C46"/>
    <w:rsid w:val="00490C6F"/>
    <w:rsid w:val="00491580"/>
    <w:rsid w:val="00494914"/>
    <w:rsid w:val="004A6C46"/>
    <w:rsid w:val="004B1F04"/>
    <w:rsid w:val="004B27EE"/>
    <w:rsid w:val="004B4A74"/>
    <w:rsid w:val="004B714F"/>
    <w:rsid w:val="004C3997"/>
    <w:rsid w:val="004C58BF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2FBB"/>
    <w:rsid w:val="005415E6"/>
    <w:rsid w:val="005451BD"/>
    <w:rsid w:val="005518C4"/>
    <w:rsid w:val="005659C2"/>
    <w:rsid w:val="005B4627"/>
    <w:rsid w:val="005C0B8D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01ED0"/>
    <w:rsid w:val="0070578A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267BE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5601D"/>
    <w:rsid w:val="00956CFE"/>
    <w:rsid w:val="00961F85"/>
    <w:rsid w:val="00963BF6"/>
    <w:rsid w:val="00974558"/>
    <w:rsid w:val="00987A70"/>
    <w:rsid w:val="009B4086"/>
    <w:rsid w:val="009B5DDA"/>
    <w:rsid w:val="009C3D2D"/>
    <w:rsid w:val="009C50DE"/>
    <w:rsid w:val="009D1423"/>
    <w:rsid w:val="009D6CA0"/>
    <w:rsid w:val="00A103AF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30965"/>
    <w:rsid w:val="00B40F28"/>
    <w:rsid w:val="00B45240"/>
    <w:rsid w:val="00B5407A"/>
    <w:rsid w:val="00B55888"/>
    <w:rsid w:val="00B6138F"/>
    <w:rsid w:val="00B71699"/>
    <w:rsid w:val="00B74362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5192F"/>
    <w:rsid w:val="00C62559"/>
    <w:rsid w:val="00C6789D"/>
    <w:rsid w:val="00C7272B"/>
    <w:rsid w:val="00C751F4"/>
    <w:rsid w:val="00CA1498"/>
    <w:rsid w:val="00CB713B"/>
    <w:rsid w:val="00CE3825"/>
    <w:rsid w:val="00CF0611"/>
    <w:rsid w:val="00CF7988"/>
    <w:rsid w:val="00D04D5B"/>
    <w:rsid w:val="00D13109"/>
    <w:rsid w:val="00D145DA"/>
    <w:rsid w:val="00D171CB"/>
    <w:rsid w:val="00D2225A"/>
    <w:rsid w:val="00D365B9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0634"/>
    <w:rsid w:val="00DA34A6"/>
    <w:rsid w:val="00DB041D"/>
    <w:rsid w:val="00DB3894"/>
    <w:rsid w:val="00DB3B9B"/>
    <w:rsid w:val="00DC234C"/>
    <w:rsid w:val="00DD5E02"/>
    <w:rsid w:val="00DE7F2A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50085"/>
    <w:rsid w:val="00F51550"/>
    <w:rsid w:val="00F54C1B"/>
    <w:rsid w:val="00F54EA7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3BDB"/>
    <w:rsid w:val="00FB5C75"/>
    <w:rsid w:val="00FE232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20201год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0980992"/>
        <c:axId val="140982528"/>
        <c:axId val="0"/>
      </c:bar3DChart>
      <c:catAx>
        <c:axId val="14098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0982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982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0980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129984"/>
        <c:axId val="144184448"/>
        <c:axId val="0"/>
      </c:bar3DChart>
      <c:catAx>
        <c:axId val="1431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4184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184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3129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0.09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745856"/>
        <c:axId val="152747392"/>
        <c:axId val="0"/>
      </c:bar3DChart>
      <c:catAx>
        <c:axId val="15274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2747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747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2745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0054186775038E-2"/>
          <c:y val="3.1455213552851503E-2"/>
          <c:w val="0.88888888888888884"/>
          <c:h val="0.82178217821782151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848640"/>
        <c:axId val="152977408"/>
        <c:axId val="0"/>
      </c:bar3DChart>
      <c:catAx>
        <c:axId val="15284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297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977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2848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085696"/>
        <c:axId val="141091584"/>
        <c:axId val="0"/>
      </c:bar3DChart>
      <c:catAx>
        <c:axId val="14108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09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091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085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0.09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133312"/>
        <c:axId val="141134848"/>
        <c:axId val="0"/>
      </c:bar3DChart>
      <c:catAx>
        <c:axId val="14113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134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134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133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письменные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письменные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197696"/>
        <c:axId val="141199232"/>
        <c:axId val="0"/>
      </c:bar3DChart>
      <c:catAx>
        <c:axId val="14119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199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199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1976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33.299999999999997</c:v>
                </c:pt>
                <c:pt idx="1">
                  <c:v>0</c:v>
                </c:pt>
                <c:pt idx="2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247232"/>
        <c:axId val="141248768"/>
        <c:axId val="0"/>
      </c:bar3DChart>
      <c:catAx>
        <c:axId val="14124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4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248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472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295616"/>
        <c:axId val="141297152"/>
        <c:axId val="0"/>
      </c:bar3DChart>
      <c:catAx>
        <c:axId val="14129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9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297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12956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2022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942592"/>
        <c:axId val="142944128"/>
        <c:axId val="0"/>
      </c:bar3DChart>
      <c:catAx>
        <c:axId val="14294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94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944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9425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2021 год</c:v>
                </c:pt>
                <c:pt idx="1">
                  <c:v>2022год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14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2985856"/>
        <c:axId val="143073664"/>
        <c:axId val="0"/>
      </c:bar3DChart>
      <c:catAx>
        <c:axId val="14298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307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0736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2985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0.09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196352"/>
        <c:axId val="144197888"/>
        <c:axId val="0"/>
      </c:bar3DChart>
      <c:catAx>
        <c:axId val="14419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419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197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4196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F1C-B408-4311-A31E-DB36343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2018-01-17T11:11:00Z</cp:lastPrinted>
  <dcterms:created xsi:type="dcterms:W3CDTF">2018-01-15T17:35:00Z</dcterms:created>
  <dcterms:modified xsi:type="dcterms:W3CDTF">2022-12-16T06:28:00Z</dcterms:modified>
</cp:coreProperties>
</file>